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36"/>
          <w:szCs w:val="24"/>
          <w:lang w:eastAsia="fr-F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BC158C" w:rsidRPr="00BC158C" w:rsidTr="00600F32">
        <w:tc>
          <w:tcPr>
            <w:tcW w:w="9072" w:type="dxa"/>
            <w:shd w:val="clear" w:color="auto" w:fill="0D552F"/>
            <w:vAlign w:val="center"/>
          </w:tcPr>
          <w:p w:rsidR="00BC158C" w:rsidRPr="00BC158C" w:rsidRDefault="00BC158C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Fenêtre_et_Porte-fenêtre_1"/>
            <w:bookmarkEnd w:id="0"/>
            <w:r w:rsidRPr="00BC158C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BC158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Fenêtre et Porte-fenêtre </w:t>
            </w:r>
            <w:r w:rsidR="00231ED3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COULISSANTE</w:t>
            </w:r>
          </w:p>
          <w:p w:rsidR="00BC158C" w:rsidRDefault="00600F32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 w:rsidRPr="00600F3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Haute Performance Thermique</w:t>
            </w:r>
          </w:p>
          <w:p w:rsidR="00600F32" w:rsidRPr="00600F32" w:rsidRDefault="00600F32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PERFORMANCE 70 CL</w:t>
            </w:r>
          </w:p>
        </w:tc>
      </w:tr>
    </w:tbl>
    <w:p w:rsidR="00B0312A" w:rsidRDefault="00600F32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>
            <wp:extent cx="1786478" cy="2637182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22" cy="26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447F18" w:rsidRPr="00447F18" w:rsidRDefault="00447F18" w:rsidP="00447F1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231ED3" w:rsidRP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Les menuiseries</w:t>
      </w:r>
      <w:r w:rsidRPr="00231ED3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seront réalisées en profils d’alliage aluminium 6060 T5 extrudés à isolation thermique </w:t>
      </w:r>
      <w:r w:rsidR="00600F32">
        <w:rPr>
          <w:rFonts w:ascii="Arial" w:eastAsia="Times New Roman" w:hAnsi="Arial" w:cs="Arial"/>
          <w:b/>
          <w:color w:val="0D552F"/>
          <w:szCs w:val="24"/>
          <w:lang w:eastAsia="fr-FR"/>
        </w:rPr>
        <w:t>PERFORMANCE 70 CL</w:t>
      </w: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de chez </w:t>
      </w:r>
      <w:proofErr w:type="gramStart"/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Sapa</w:t>
      </w:r>
      <w:r w:rsidR="003443F8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, </w:t>
      </w:r>
      <w:r w:rsidRPr="00231ED3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>conformes</w:t>
      </w:r>
      <w:proofErr w:type="gramEnd"/>
      <w:r w:rsidRPr="00231ED3">
        <w:rPr>
          <w:rFonts w:ascii="Arial" w:eastAsia="Times New Roman" w:hAnsi="Arial" w:cs="Arial"/>
          <w:szCs w:val="24"/>
          <w:lang w:eastAsia="fr-FR"/>
        </w:rPr>
        <w:t xml:space="preserve"> aux nouvelles normes XP P 24-400 pour les profilés et XP P 24-401 pour les fenêtres et </w:t>
      </w:r>
      <w:proofErr w:type="spellStart"/>
      <w:r w:rsidRPr="00231ED3">
        <w:rPr>
          <w:rFonts w:ascii="Arial" w:eastAsia="Times New Roman" w:hAnsi="Arial" w:cs="Arial"/>
          <w:szCs w:val="24"/>
          <w:lang w:eastAsia="fr-FR"/>
        </w:rPr>
        <w:t>porte-fenêtres</w:t>
      </w:r>
      <w:proofErr w:type="spellEnd"/>
      <w:r w:rsidRPr="00231ED3">
        <w:rPr>
          <w:rFonts w:ascii="Arial" w:eastAsia="Times New Roman" w:hAnsi="Arial" w:cs="Arial"/>
          <w:szCs w:val="24"/>
          <w:lang w:eastAsia="fr-FR"/>
        </w:rPr>
        <w:t>.</w:t>
      </w:r>
    </w:p>
    <w:p w:rsidR="00231ED3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Les profilés à rupture thermique sont constitués de deux demi profilés en aluminium assemblés mécaniquement par le fournisseur du système à l'aide de deux barrettes en polyamide renforcées à 25 % de fibre de verre et de </w:t>
      </w:r>
      <w:r w:rsidR="00600F32">
        <w:rPr>
          <w:rFonts w:ascii="Arial" w:eastAsia="Times New Roman" w:hAnsi="Arial" w:cs="Arial"/>
          <w:color w:val="000000"/>
          <w:szCs w:val="20"/>
          <w:lang w:eastAsia="fr-FR"/>
        </w:rPr>
        <w:t>30</w:t>
      </w:r>
      <w:r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 mm de largeur.</w:t>
      </w:r>
      <w:r w:rsidRPr="00231ED3">
        <w:rPr>
          <w:rFonts w:ascii="Arial" w:eastAsia="Times New Roman" w:hAnsi="Arial" w:cs="Arial"/>
          <w:szCs w:val="24"/>
          <w:lang w:eastAsia="fr-FR"/>
        </w:rPr>
        <w:t xml:space="preserve"> L’esthétique est mise en valeur par la pureté des lignes tendues faisant ressortir les formes angulaires.</w:t>
      </w:r>
    </w:p>
    <w:p w:rsidR="007E26B2" w:rsidRDefault="007E26B2" w:rsidP="00231ED3">
      <w:pPr>
        <w:pStyle w:val="Textepardfaut1"/>
        <w:jc w:val="both"/>
        <w:rPr>
          <w:rFonts w:ascii="Arial" w:hAnsi="Arial" w:cs="Arial"/>
          <w:b/>
          <w:bCs/>
          <w:iCs/>
          <w:color w:val="0D552F"/>
          <w:sz w:val="22"/>
          <w:lang w:val="fr-FR"/>
        </w:rPr>
      </w:pPr>
    </w:p>
    <w:p w:rsidR="006D540C" w:rsidRDefault="00231ED3" w:rsidP="00231ED3">
      <w:pPr>
        <w:pStyle w:val="Textepardfaut1"/>
        <w:jc w:val="both"/>
        <w:rPr>
          <w:rFonts w:ascii="Arial" w:hAnsi="Arial" w:cs="Arial"/>
          <w:sz w:val="22"/>
          <w:lang w:val="fr-FR"/>
        </w:rPr>
      </w:pPr>
      <w:r w:rsidRPr="00133646">
        <w:rPr>
          <w:rFonts w:ascii="Arial" w:hAnsi="Arial" w:cs="Arial"/>
          <w:b/>
          <w:bCs/>
          <w:iCs/>
          <w:color w:val="0D552F"/>
          <w:sz w:val="22"/>
          <w:lang w:val="fr-FR"/>
        </w:rPr>
        <w:t>Les dormants</w:t>
      </w:r>
      <w:r w:rsidRPr="00133646">
        <w:rPr>
          <w:rFonts w:ascii="Arial" w:hAnsi="Arial" w:cs="Arial"/>
          <w:sz w:val="22"/>
          <w:lang w:val="fr-FR"/>
        </w:rPr>
        <w:t xml:space="preserve"> seront constitués par des profils</w:t>
      </w:r>
      <w:r w:rsidR="002D3CB0">
        <w:rPr>
          <w:rFonts w:ascii="Arial" w:hAnsi="Arial" w:cs="Arial"/>
          <w:sz w:val="22"/>
          <w:lang w:val="fr-FR"/>
        </w:rPr>
        <w:t xml:space="preserve"> tubulaires</w:t>
      </w:r>
      <w:r w:rsidRPr="00133646">
        <w:rPr>
          <w:rFonts w:ascii="Arial" w:hAnsi="Arial" w:cs="Arial"/>
          <w:sz w:val="22"/>
          <w:lang w:val="fr-FR"/>
        </w:rPr>
        <w:t xml:space="preserve"> à rupture de pont thermique décliné</w:t>
      </w:r>
      <w:r w:rsidR="006D540C">
        <w:rPr>
          <w:rFonts w:ascii="Arial" w:hAnsi="Arial" w:cs="Arial"/>
          <w:sz w:val="22"/>
          <w:lang w:val="fr-FR"/>
        </w:rPr>
        <w:t>s</w:t>
      </w:r>
      <w:r w:rsidRPr="00133646">
        <w:rPr>
          <w:rFonts w:ascii="Arial" w:hAnsi="Arial" w:cs="Arial"/>
          <w:sz w:val="22"/>
          <w:lang w:val="fr-FR"/>
        </w:rPr>
        <w:t xml:space="preserve"> en plusieurs versions :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>Dormant 2 rails (base 70 mm).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>Dormant 3 rails (base 133 mm).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Dormants </w:t>
      </w:r>
      <w:r>
        <w:rPr>
          <w:rFonts w:ascii="Arial" w:hAnsi="Arial" w:cs="Arial"/>
          <w:b/>
          <w:color w:val="0D552F"/>
          <w:sz w:val="22"/>
          <w:lang w:val="fr-FR"/>
        </w:rPr>
        <w:t xml:space="preserve">2 rails 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>monoblocs (reprise de doublage 100, 120,</w:t>
      </w:r>
      <w:r w:rsidR="008113AC">
        <w:rPr>
          <w:rFonts w:ascii="Arial" w:hAnsi="Arial" w:cs="Arial"/>
          <w:b/>
          <w:color w:val="0D552F"/>
          <w:sz w:val="22"/>
          <w:lang w:val="fr-FR"/>
        </w:rPr>
        <w:t xml:space="preserve"> 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>140,</w:t>
      </w:r>
      <w:r w:rsidR="008113AC">
        <w:rPr>
          <w:rFonts w:ascii="Arial" w:hAnsi="Arial" w:cs="Arial"/>
          <w:b/>
          <w:color w:val="0D552F"/>
          <w:sz w:val="22"/>
          <w:lang w:val="fr-FR"/>
        </w:rPr>
        <w:t xml:space="preserve"> 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>160 mm).</w:t>
      </w:r>
    </w:p>
    <w:p w:rsidR="00231ED3" w:rsidRPr="006D540C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600F32" w:rsidRDefault="00600F3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3 types d’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ouvrants</w:t>
      </w:r>
      <w:r w:rsidR="007E26B2" w:rsidRPr="007E26B2">
        <w:rPr>
          <w:rFonts w:ascii="Arial" w:eastAsia="Times New Roman" w:hAnsi="Arial" w:cs="Arial"/>
          <w:szCs w:val="24"/>
          <w:lang w:eastAsia="fr-FR"/>
        </w:rPr>
        <w:t xml:space="preserve"> seront constitués de profils </w:t>
      </w:r>
      <w:r w:rsidR="002D3CB0">
        <w:rPr>
          <w:rFonts w:ascii="Arial" w:eastAsia="Times New Roman" w:hAnsi="Arial" w:cs="Arial"/>
          <w:szCs w:val="24"/>
          <w:lang w:eastAsia="fr-FR"/>
        </w:rPr>
        <w:t>à rupture de pont thermique</w:t>
      </w:r>
      <w:r w:rsidR="007E26B2" w:rsidRPr="007E26B2">
        <w:rPr>
          <w:rFonts w:ascii="Arial" w:eastAsia="Times New Roman" w:hAnsi="Arial" w:cs="Arial"/>
          <w:szCs w:val="24"/>
          <w:lang w:eastAsia="fr-FR"/>
        </w:rPr>
        <w:t xml:space="preserve"> permettant la 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>prise en portefeuille d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e</w:t>
      </w:r>
      <w:r w:rsidR="007E26B2" w:rsidRPr="007E26B2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vitrage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s d’épaisseur :</w:t>
      </w:r>
    </w:p>
    <w:p w:rsidR="007E26B2" w:rsidRDefault="00600F32" w:rsidP="00600F32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24 </w:t>
      </w:r>
      <w:proofErr w:type="spellStart"/>
      <w:r>
        <w:rPr>
          <w:rFonts w:ascii="Arial" w:eastAsia="Times New Roman" w:hAnsi="Arial" w:cs="Arial"/>
          <w:b/>
          <w:color w:val="0D552F"/>
          <w:szCs w:val="24"/>
          <w:lang w:eastAsia="fr-FR"/>
        </w:rPr>
        <w:t>mm.</w:t>
      </w:r>
      <w:proofErr w:type="spellEnd"/>
    </w:p>
    <w:p w:rsidR="00600F32" w:rsidRDefault="00600F32" w:rsidP="00600F32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26 à 28 </w:t>
      </w:r>
      <w:proofErr w:type="spellStart"/>
      <w:r>
        <w:rPr>
          <w:rFonts w:ascii="Arial" w:eastAsia="Times New Roman" w:hAnsi="Arial" w:cs="Arial"/>
          <w:b/>
          <w:color w:val="0D552F"/>
          <w:szCs w:val="24"/>
          <w:lang w:eastAsia="fr-FR"/>
        </w:rPr>
        <w:t>mm.</w:t>
      </w:r>
      <w:proofErr w:type="spellEnd"/>
    </w:p>
    <w:p w:rsidR="00600F32" w:rsidRPr="00600F32" w:rsidRDefault="00600F32" w:rsidP="00600F32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32 </w:t>
      </w:r>
      <w:proofErr w:type="spellStart"/>
      <w:r>
        <w:rPr>
          <w:rFonts w:ascii="Arial" w:eastAsia="Times New Roman" w:hAnsi="Arial" w:cs="Arial"/>
          <w:b/>
          <w:color w:val="0D552F"/>
          <w:szCs w:val="24"/>
          <w:lang w:eastAsia="fr-FR"/>
        </w:rPr>
        <w:t>mm.</w:t>
      </w:r>
      <w:proofErr w:type="spellEnd"/>
    </w:p>
    <w:p w:rsidR="007E26B2" w:rsidRPr="007E26B2" w:rsidRDefault="007E26B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La masse vue d’aluminium pour le battement central sera de </w:t>
      </w:r>
      <w:r w:rsidR="002D3CB0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35</w:t>
      </w: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mm</w:t>
      </w:r>
      <w:r w:rsidR="008113AC">
        <w:rPr>
          <w:rFonts w:ascii="Arial" w:eastAsia="Times New Roman" w:hAnsi="Arial" w:cs="Arial"/>
          <w:szCs w:val="24"/>
          <w:lang w:eastAsia="fr-FR"/>
        </w:rPr>
        <w:t>.</w:t>
      </w:r>
      <w:proofErr w:type="spellEnd"/>
      <w:r w:rsidRPr="007E26B2">
        <w:rPr>
          <w:rFonts w:ascii="Arial" w:eastAsia="Times New Roman" w:hAnsi="Arial" w:cs="Arial"/>
          <w:szCs w:val="24"/>
          <w:lang w:eastAsia="fr-FR"/>
        </w:rPr>
        <w:t xml:space="preserve"> </w:t>
      </w:r>
    </w:p>
    <w:p w:rsidR="00BC158C" w:rsidRPr="00BC158C" w:rsidRDefault="007E26B2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Les montants chicanes</w:t>
      </w:r>
      <w:r w:rsidRPr="008113AC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renforcés</w:t>
      </w:r>
      <w:r w:rsidR="008113AC">
        <w:rPr>
          <w:rFonts w:ascii="Arial" w:eastAsia="Times New Roman" w:hAnsi="Arial" w:cs="Arial"/>
          <w:b/>
          <w:color w:val="0D552F"/>
          <w:szCs w:val="24"/>
          <w:lang w:eastAsia="fr-FR"/>
        </w:rPr>
        <w:t>, si besoin,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en tubulure permett</w:t>
      </w:r>
      <w:r w:rsidR="008113AC">
        <w:rPr>
          <w:rFonts w:ascii="Arial" w:eastAsia="Times New Roman" w:hAnsi="Arial" w:cs="Arial"/>
          <w:b/>
          <w:color w:val="0D552F"/>
          <w:szCs w:val="24"/>
          <w:lang w:eastAsia="fr-FR"/>
        </w:rPr>
        <w:t>e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nt d’obtenir un aspect </w:t>
      </w:r>
      <w:r w:rsidR="008113A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visuel </w:t>
      </w:r>
      <w:r w:rsidR="006D540C"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identique</w:t>
      </w:r>
      <w:r w:rsidR="008113AC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>et latéraux seront adaptés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 xml:space="preserve">en fonction </w:t>
      </w:r>
      <w:r w:rsidR="00BC158C" w:rsidRPr="00BC158C">
        <w:rPr>
          <w:rFonts w:ascii="Arial" w:eastAsia="Times New Roman" w:hAnsi="Arial" w:cs="Arial"/>
          <w:szCs w:val="24"/>
          <w:lang w:eastAsia="fr-FR"/>
        </w:rPr>
        <w:t xml:space="preserve">de la charge au vent et du moment d’inertie nécessaire. </w:t>
      </w:r>
      <w:r w:rsidRPr="007E26B2">
        <w:rPr>
          <w:rFonts w:ascii="Arial" w:eastAsia="Times New Roman" w:hAnsi="Arial" w:cs="Arial"/>
          <w:szCs w:val="24"/>
          <w:lang w:eastAsia="fr-FR"/>
        </w:rPr>
        <w:t>Des bouchons dans le montant et la chicane assureront la continuité d’étanchéité</w:t>
      </w:r>
      <w:r w:rsidR="008113AC">
        <w:rPr>
          <w:rFonts w:ascii="Arial" w:eastAsia="Times New Roman" w:hAnsi="Arial" w:cs="Arial"/>
          <w:szCs w:val="24"/>
          <w:lang w:eastAsia="fr-FR"/>
        </w:rPr>
        <w:t>.</w:t>
      </w:r>
    </w:p>
    <w:p w:rsidR="00CC1595" w:rsidRPr="00BC158C" w:rsidRDefault="00CC1595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</w:p>
    <w:p w:rsidR="007E26B2" w:rsidRDefault="007E26B2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bookmarkStart w:id="1" w:name="_GoBack"/>
      <w:bookmarkEnd w:id="1"/>
    </w:p>
    <w:p w:rsidR="007E26B2" w:rsidRDefault="007E26B2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5D0D56" w:rsidRDefault="005D0D56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BC158C" w:rsidRDefault="00447F18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- </w:t>
      </w:r>
      <w:r w:rsidR="00BC158C"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447F18" w:rsidRPr="00447F18" w:rsidRDefault="00447F18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0312A" w:rsidRDefault="00B0312A" w:rsidP="00636C8A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283011">
        <w:rPr>
          <w:rFonts w:ascii="Arial" w:eastAsia="Times New Roman" w:hAnsi="Arial" w:cs="Arial"/>
          <w:lang w:eastAsia="fr-FR"/>
        </w:rPr>
        <w:t>Isolation thermique</w:t>
      </w:r>
      <w:r>
        <w:rPr>
          <w:rFonts w:ascii="Arial" w:eastAsia="Times New Roman" w:hAnsi="Arial" w:cs="Arial"/>
          <w:lang w:eastAsia="fr-FR"/>
        </w:rPr>
        <w:t> :</w:t>
      </w:r>
      <w:r w:rsidR="007E26B2">
        <w:rPr>
          <w:rFonts w:ascii="Arial" w:eastAsia="Times New Roman" w:hAnsi="Arial" w:cs="Arial"/>
          <w:lang w:eastAsia="fr-FR"/>
        </w:rPr>
        <w:t xml:space="preserve"> </w:t>
      </w:r>
      <w:r w:rsidR="007E26B2" w:rsidRPr="007E26B2">
        <w:rPr>
          <w:rFonts w:ascii="Arial" w:eastAsia="Times New Roman" w:hAnsi="Arial" w:cs="Arial"/>
          <w:szCs w:val="20"/>
          <w:lang w:eastAsia="fr-FR"/>
        </w:rPr>
        <w:t>EN ISO 10077-2</w:t>
      </w:r>
      <w:r w:rsidR="006C68A9">
        <w:rPr>
          <w:rFonts w:ascii="Arial" w:eastAsia="Times New Roman" w:hAnsi="Arial" w:cs="Arial"/>
          <w:szCs w:val="20"/>
          <w:lang w:eastAsia="fr-FR"/>
        </w:rPr>
        <w:tab/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U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vertAlign w:val="subscript"/>
          <w:lang w:eastAsia="fr-FR"/>
        </w:rPr>
        <w:t xml:space="preserve"> w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= 1,</w:t>
      </w:r>
      <w:r w:rsidR="008113AC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5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W/m²K avec vitrage </w:t>
      </w:r>
      <w:proofErr w:type="spellStart"/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U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vertAlign w:val="subscript"/>
          <w:lang w:eastAsia="fr-FR"/>
        </w:rPr>
        <w:t>g</w:t>
      </w:r>
      <w:proofErr w:type="spellEnd"/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= 1</w:t>
      </w:r>
      <w:r w:rsidR="00636C8A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.0 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W/m²K</w:t>
      </w:r>
    </w:p>
    <w:p w:rsidR="00636C8A" w:rsidRDefault="00636C8A" w:rsidP="006C68A9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</w:t>
      </w:r>
      <w:r w:rsidRPr="00636C8A">
        <w:rPr>
          <w:rFonts w:ascii="Arial" w:eastAsia="Times New Roman" w:hAnsi="Arial" w:cs="Arial"/>
          <w:color w:val="0D552F"/>
          <w:lang w:eastAsia="fr-FR"/>
        </w:rPr>
        <w:t>Intercalaire Warm Edge TGI</w:t>
      </w:r>
      <w:r>
        <w:rPr>
          <w:rFonts w:ascii="Arial" w:eastAsia="Times New Roman" w:hAnsi="Arial" w:cs="Arial"/>
          <w:lang w:eastAsia="fr-FR"/>
        </w:rPr>
        <w:t>)</w:t>
      </w:r>
    </w:p>
    <w:p w:rsidR="00636C8A" w:rsidRPr="007E26B2" w:rsidRDefault="00636C8A" w:rsidP="00636C8A">
      <w:pPr>
        <w:spacing w:after="0" w:line="240" w:lineRule="auto"/>
        <w:ind w:left="-142"/>
        <w:jc w:val="both"/>
        <w:rPr>
          <w:rFonts w:ascii="Arial" w:eastAsia="Times New Roman" w:hAnsi="Arial" w:cs="Arial"/>
          <w:szCs w:val="20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BC158C">
        <w:rPr>
          <w:rFonts w:ascii="Arial" w:eastAsia="Times New Roman" w:hAnsi="Arial" w:cs="Arial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 xml:space="preserve">Perméabilité à l'air : </w:t>
      </w:r>
      <w:r w:rsidR="007E26B2" w:rsidRPr="00133646">
        <w:rPr>
          <w:rFonts w:ascii="Arial" w:hAnsi="Arial" w:cs="Arial"/>
          <w:color w:val="000000"/>
          <w:szCs w:val="20"/>
        </w:rPr>
        <w:t>EN 12207</w:t>
      </w:r>
      <w:r w:rsidR="006C68A9">
        <w:rPr>
          <w:rFonts w:ascii="Arial" w:hAnsi="Arial" w:cs="Arial"/>
          <w:color w:val="000000"/>
          <w:szCs w:val="20"/>
        </w:rPr>
        <w:tab/>
      </w:r>
      <w:r w:rsidR="006C68A9">
        <w:rPr>
          <w:rFonts w:ascii="Arial" w:hAnsi="Arial" w:cs="Arial"/>
          <w:color w:val="000000"/>
          <w:szCs w:val="20"/>
        </w:rPr>
        <w:tab/>
      </w:r>
      <w:r w:rsidR="007E26B2" w:rsidRPr="007E26B2">
        <w:rPr>
          <w:rFonts w:ascii="Arial" w:hAnsi="Arial" w:cs="Arial"/>
          <w:b/>
          <w:color w:val="0D552F"/>
          <w:szCs w:val="20"/>
        </w:rPr>
        <w:t>A*</w:t>
      </w:r>
      <w:r w:rsidR="008113AC">
        <w:rPr>
          <w:rFonts w:ascii="Arial" w:hAnsi="Arial" w:cs="Arial"/>
          <w:b/>
          <w:color w:val="0D552F"/>
          <w:szCs w:val="20"/>
        </w:rPr>
        <w:t>4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  <w:t xml:space="preserve"> </w:t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>Etanchéité à l'eau</w:t>
      </w:r>
      <w:r w:rsidR="007E26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50583B">
        <w:rPr>
          <w:rFonts w:ascii="Arial" w:eastAsia="Times New Roman" w:hAnsi="Arial" w:cs="Arial"/>
          <w:color w:val="000000"/>
          <w:lang w:eastAsia="fr-FR"/>
        </w:rPr>
        <w:t>:  EN 12208</w:t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Pr="00447F18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E*</w:t>
      </w:r>
      <w:r w:rsidR="007E26B2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7b</w:t>
      </w:r>
      <w:r w:rsidRPr="00447F18">
        <w:rPr>
          <w:rFonts w:ascii="Arial" w:eastAsia="Times New Roman" w:hAnsi="Arial" w:cs="Arial"/>
          <w:color w:val="0D552F"/>
          <w:sz w:val="24"/>
          <w:szCs w:val="20"/>
          <w:lang w:eastAsia="fr-FR"/>
        </w:rPr>
        <w:t xml:space="preserve"> 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>Résistance au vent : EN 1221</w:t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Pr="00447F18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V*</w:t>
      </w:r>
      <w:r w:rsidR="008113AC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A</w:t>
      </w:r>
      <w:r w:rsidR="00A561A9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2</w:t>
      </w: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:rsidR="00BC158C" w:rsidRPr="0050583B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Cs/>
          <w:szCs w:val="24"/>
          <w:lang w:eastAsia="fr-FR"/>
        </w:rPr>
      </w:pP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>Isolation phonique</w:t>
      </w:r>
      <w:r w:rsidR="007E26B2">
        <w:rPr>
          <w:rFonts w:ascii="Arial" w:eastAsia="Times New Roman" w:hAnsi="Arial" w:cs="Arial"/>
          <w:color w:val="000000"/>
          <w:szCs w:val="24"/>
          <w:lang w:eastAsia="fr-FR"/>
        </w:rPr>
        <w:t xml:space="preserve"> : </w:t>
      </w: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>EN 717 / EN140 :</w:t>
      </w:r>
      <w:r w:rsidR="006C68A9">
        <w:rPr>
          <w:rFonts w:ascii="Arial" w:eastAsia="Times New Roman" w:hAnsi="Arial" w:cs="Arial"/>
          <w:color w:val="000000"/>
          <w:szCs w:val="24"/>
          <w:lang w:eastAsia="fr-FR"/>
        </w:rPr>
        <w:tab/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3</w:t>
      </w:r>
      <w:r w:rsidR="00636C8A">
        <w:rPr>
          <w:rFonts w:ascii="Arial" w:eastAsia="Times New Roman" w:hAnsi="Arial" w:cs="Arial"/>
          <w:b/>
          <w:color w:val="0D552F"/>
          <w:szCs w:val="24"/>
          <w:lang w:eastAsia="fr-FR"/>
        </w:rPr>
        <w:t>7</w:t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db</w:t>
      </w:r>
      <w:proofErr w:type="spellEnd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Ratr</w:t>
      </w:r>
      <w:proofErr w:type="spellEnd"/>
    </w:p>
    <w:p w:rsidR="00636C8A" w:rsidRDefault="00A561A9" w:rsidP="00BC15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33646">
        <w:rPr>
          <w:rFonts w:ascii="Arial" w:hAnsi="Arial" w:cs="Arial"/>
        </w:rPr>
        <w:t>Essai réalisé sous contrôle d’un organisme certifié (</w:t>
      </w:r>
      <w:proofErr w:type="gramStart"/>
      <w:r w:rsidRPr="00133646">
        <w:rPr>
          <w:rFonts w:ascii="Arial" w:hAnsi="Arial" w:cs="Arial"/>
        </w:rPr>
        <w:t>CSTB,…</w:t>
      </w:r>
      <w:proofErr w:type="gramEnd"/>
      <w:r w:rsidRPr="00133646">
        <w:rPr>
          <w:rFonts w:ascii="Arial" w:hAnsi="Arial" w:cs="Arial"/>
        </w:rPr>
        <w:t>).</w:t>
      </w:r>
    </w:p>
    <w:p w:rsidR="00636C8A" w:rsidRDefault="00636C8A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6C68A9" w:rsidRDefault="00636C8A" w:rsidP="006C68A9">
      <w:pPr>
        <w:overflowPunct w:val="0"/>
        <w:autoSpaceDE w:val="0"/>
        <w:autoSpaceDN w:val="0"/>
        <w:adjustRightInd w:val="0"/>
        <w:spacing w:after="0" w:line="240" w:lineRule="auto"/>
        <w:ind w:left="-142" w:right="-426"/>
        <w:textAlignment w:val="baseline"/>
        <w:rPr>
          <w:rFonts w:ascii="Arial" w:hAnsi="Arial" w:cs="Arial"/>
          <w:b/>
          <w:color w:val="0D552F"/>
        </w:rPr>
      </w:pPr>
      <w:r w:rsidRPr="00636C8A">
        <w:rPr>
          <w:rFonts w:ascii="Arial" w:hAnsi="Arial" w:cs="Arial"/>
        </w:rPr>
        <w:t>- Poids maxi / vantail :</w:t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Pr="007B0D6A">
        <w:rPr>
          <w:rFonts w:ascii="Arial" w:hAnsi="Arial" w:cs="Arial"/>
          <w:b/>
          <w:color w:val="0D552F"/>
        </w:rPr>
        <w:t xml:space="preserve">Ouvrants 24 mm et 26/28 mm 160 </w:t>
      </w:r>
      <w:proofErr w:type="spellStart"/>
      <w:r w:rsidRPr="007B0D6A">
        <w:rPr>
          <w:rFonts w:ascii="Arial" w:hAnsi="Arial" w:cs="Arial"/>
          <w:b/>
          <w:color w:val="0D552F"/>
        </w:rPr>
        <w:t>kgs</w:t>
      </w:r>
      <w:proofErr w:type="spellEnd"/>
      <w:r w:rsidR="00080898">
        <w:rPr>
          <w:rFonts w:ascii="Arial" w:hAnsi="Arial" w:cs="Arial"/>
          <w:b/>
          <w:color w:val="0D552F"/>
        </w:rPr>
        <w:t>.</w:t>
      </w:r>
    </w:p>
    <w:p w:rsidR="00636C8A" w:rsidRDefault="00636C8A" w:rsidP="006C68A9">
      <w:pPr>
        <w:overflowPunct w:val="0"/>
        <w:autoSpaceDE w:val="0"/>
        <w:autoSpaceDN w:val="0"/>
        <w:adjustRightInd w:val="0"/>
        <w:spacing w:after="0" w:line="240" w:lineRule="auto"/>
        <w:ind w:left="3398" w:right="-426" w:firstLine="850"/>
        <w:textAlignment w:val="baseline"/>
        <w:rPr>
          <w:rFonts w:ascii="Arial" w:hAnsi="Arial" w:cs="Arial"/>
          <w:b/>
          <w:color w:val="0D552F"/>
        </w:rPr>
      </w:pPr>
      <w:r w:rsidRPr="007B0D6A">
        <w:rPr>
          <w:rFonts w:ascii="Arial" w:hAnsi="Arial" w:cs="Arial"/>
          <w:b/>
          <w:color w:val="0D552F"/>
        </w:rPr>
        <w:t>Ouvrant 32 mm 250 kg (galets triple et rail</w:t>
      </w:r>
      <w:r w:rsidR="00080898">
        <w:rPr>
          <w:rFonts w:ascii="Arial" w:hAnsi="Arial" w:cs="Arial"/>
          <w:b/>
          <w:color w:val="0D552F"/>
        </w:rPr>
        <w:t xml:space="preserve"> </w:t>
      </w:r>
      <w:r w:rsidRPr="007B0D6A">
        <w:rPr>
          <w:rFonts w:ascii="Arial" w:hAnsi="Arial" w:cs="Arial"/>
          <w:b/>
          <w:color w:val="0D552F"/>
        </w:rPr>
        <w:t>inox</w:t>
      </w:r>
      <w:r w:rsidR="00080898">
        <w:rPr>
          <w:rFonts w:ascii="Arial" w:hAnsi="Arial" w:cs="Arial"/>
          <w:b/>
          <w:color w:val="0D552F"/>
        </w:rPr>
        <w:t>).</w:t>
      </w:r>
    </w:p>
    <w:p w:rsidR="00080898" w:rsidRPr="007B0D6A" w:rsidRDefault="00080898" w:rsidP="00080898">
      <w:pPr>
        <w:overflowPunct w:val="0"/>
        <w:autoSpaceDE w:val="0"/>
        <w:autoSpaceDN w:val="0"/>
        <w:adjustRightInd w:val="0"/>
        <w:spacing w:after="0" w:line="240" w:lineRule="auto"/>
        <w:ind w:left="1274" w:firstLine="850"/>
        <w:textAlignment w:val="baseline"/>
        <w:rPr>
          <w:rFonts w:ascii="Arial" w:hAnsi="Arial" w:cs="Arial"/>
          <w:b/>
          <w:color w:val="0D552F"/>
        </w:rPr>
      </w:pPr>
    </w:p>
    <w:p w:rsidR="007B0D6A" w:rsidRDefault="00636C8A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4C2E">
        <w:rPr>
          <w:rFonts w:ascii="Arial" w:hAnsi="Arial" w:cs="Arial"/>
        </w:rPr>
        <w:t>Hauteur</w:t>
      </w:r>
      <w:r>
        <w:rPr>
          <w:rFonts w:ascii="Arial" w:hAnsi="Arial" w:cs="Arial"/>
        </w:rPr>
        <w:t xml:space="preserve"> maxi</w:t>
      </w:r>
      <w:r w:rsidR="001C4C2E">
        <w:rPr>
          <w:rFonts w:ascii="Arial" w:hAnsi="Arial" w:cs="Arial"/>
        </w:rPr>
        <w:t> :</w:t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7B0D6A" w:rsidRPr="007B0D6A">
        <w:rPr>
          <w:rFonts w:ascii="Arial" w:hAnsi="Arial" w:cs="Arial"/>
          <w:b/>
          <w:color w:val="0D552F"/>
        </w:rPr>
        <w:t xml:space="preserve">2350 </w:t>
      </w:r>
      <w:proofErr w:type="spellStart"/>
      <w:r w:rsidR="007B0D6A" w:rsidRPr="007B0D6A">
        <w:rPr>
          <w:rFonts w:ascii="Arial" w:hAnsi="Arial" w:cs="Arial"/>
          <w:b/>
          <w:color w:val="0D552F"/>
        </w:rPr>
        <w:t>mm.</w:t>
      </w:r>
      <w:proofErr w:type="spellEnd"/>
    </w:p>
    <w:p w:rsidR="004F06BF" w:rsidRDefault="004F06BF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6C68A9" w:rsidRDefault="004F06BF" w:rsidP="006C68A9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hAnsi="Arial" w:cs="Arial"/>
        </w:rPr>
        <w:t>- Retard à l’effraction :</w:t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Pr="004F06BF">
        <w:rPr>
          <w:rFonts w:ascii="Arial" w:eastAsia="Times New Roman" w:hAnsi="Arial" w:cs="Arial"/>
          <w:b/>
          <w:color w:val="0D552F"/>
          <w:lang w:eastAsia="fr-FR"/>
        </w:rPr>
        <w:t xml:space="preserve">Serrure 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de </w:t>
      </w:r>
      <w:proofErr w:type="spellStart"/>
      <w:r>
        <w:rPr>
          <w:rFonts w:ascii="Arial" w:eastAsia="Times New Roman" w:hAnsi="Arial" w:cs="Arial"/>
          <w:b/>
          <w:color w:val="0D552F"/>
          <w:lang w:eastAsia="fr-FR"/>
        </w:rPr>
        <w:t>securité</w:t>
      </w:r>
      <w:proofErr w:type="spellEnd"/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Pr="004F06BF">
        <w:rPr>
          <w:rFonts w:ascii="Arial" w:eastAsia="Times New Roman" w:hAnsi="Arial" w:cs="Arial"/>
          <w:b/>
          <w:color w:val="0D552F"/>
          <w:lang w:eastAsia="fr-FR"/>
        </w:rPr>
        <w:t>« V2P » de 3 à 5 pts avec</w:t>
      </w:r>
    </w:p>
    <w:p w:rsidR="004F06BF" w:rsidRDefault="004F06BF" w:rsidP="006C68A9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 xml:space="preserve">  </w:t>
      </w:r>
      <w:r w:rsidR="006C68A9">
        <w:rPr>
          <w:rFonts w:ascii="Arial" w:eastAsia="Times New Roman" w:hAnsi="Arial" w:cs="Arial"/>
          <w:b/>
          <w:color w:val="0D552F"/>
          <w:lang w:eastAsia="fr-FR"/>
        </w:rPr>
        <w:tab/>
      </w:r>
      <w:r w:rsidR="006C68A9">
        <w:rPr>
          <w:rFonts w:ascii="Arial" w:eastAsia="Times New Roman" w:hAnsi="Arial" w:cs="Arial"/>
          <w:b/>
          <w:color w:val="0D552F"/>
          <w:lang w:eastAsia="fr-FR"/>
        </w:rPr>
        <w:tab/>
      </w:r>
      <w:r w:rsidR="006C68A9">
        <w:rPr>
          <w:rFonts w:ascii="Arial" w:eastAsia="Times New Roman" w:hAnsi="Arial" w:cs="Arial"/>
          <w:b/>
          <w:color w:val="0D552F"/>
          <w:lang w:eastAsia="fr-FR"/>
        </w:rPr>
        <w:tab/>
      </w:r>
      <w:r w:rsidR="006C68A9">
        <w:rPr>
          <w:rFonts w:ascii="Arial" w:eastAsia="Times New Roman" w:hAnsi="Arial" w:cs="Arial"/>
          <w:b/>
          <w:color w:val="0D552F"/>
          <w:lang w:eastAsia="fr-FR"/>
        </w:rPr>
        <w:tab/>
      </w:r>
      <w:r w:rsidR="006C68A9">
        <w:rPr>
          <w:rFonts w:ascii="Arial" w:eastAsia="Times New Roman" w:hAnsi="Arial" w:cs="Arial"/>
          <w:b/>
          <w:color w:val="0D552F"/>
          <w:lang w:eastAsia="fr-FR"/>
        </w:rPr>
        <w:tab/>
      </w:r>
      <w:r w:rsidR="006C68A9">
        <w:rPr>
          <w:rFonts w:ascii="Arial" w:eastAsia="Times New Roman" w:hAnsi="Arial" w:cs="Arial"/>
          <w:b/>
          <w:color w:val="0D552F"/>
          <w:lang w:eastAsia="fr-FR"/>
        </w:rPr>
        <w:tab/>
      </w:r>
      <w:r w:rsidR="006C68A9">
        <w:rPr>
          <w:rFonts w:ascii="Arial" w:eastAsia="Times New Roman" w:hAnsi="Arial" w:cs="Arial"/>
          <w:b/>
          <w:color w:val="0D552F"/>
          <w:lang w:eastAsia="fr-FR"/>
        </w:rPr>
        <w:tab/>
      </w:r>
      <w:proofErr w:type="gramStart"/>
      <w:r w:rsidRPr="004F06BF">
        <w:rPr>
          <w:rFonts w:ascii="Arial" w:eastAsia="Times New Roman" w:hAnsi="Arial" w:cs="Arial"/>
          <w:b/>
          <w:color w:val="0D552F"/>
          <w:lang w:eastAsia="fr-FR"/>
        </w:rPr>
        <w:t>verrouillage</w:t>
      </w:r>
      <w:proofErr w:type="gramEnd"/>
      <w:r w:rsidRPr="004F06BF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proofErr w:type="spellStart"/>
      <w:r w:rsidRPr="004F06BF">
        <w:rPr>
          <w:rFonts w:ascii="Arial" w:eastAsia="Times New Roman" w:hAnsi="Arial" w:cs="Arial"/>
          <w:b/>
          <w:color w:val="0D552F"/>
          <w:lang w:eastAsia="fr-FR"/>
        </w:rPr>
        <w:t>bi</w:t>
      </w:r>
      <w:r>
        <w:rPr>
          <w:rFonts w:ascii="Arial" w:eastAsia="Times New Roman" w:hAnsi="Arial" w:cs="Arial"/>
          <w:b/>
          <w:color w:val="0D552F"/>
          <w:lang w:eastAsia="fr-FR"/>
        </w:rPr>
        <w:t>-</w:t>
      </w:r>
      <w:r w:rsidRPr="004F06BF">
        <w:rPr>
          <w:rFonts w:ascii="Arial" w:eastAsia="Times New Roman" w:hAnsi="Arial" w:cs="Arial"/>
          <w:b/>
          <w:color w:val="0D552F"/>
          <w:lang w:eastAsia="fr-FR"/>
        </w:rPr>
        <w:t>directionnel</w:t>
      </w:r>
      <w:proofErr w:type="spellEnd"/>
      <w:r w:rsidRPr="004F06BF">
        <w:rPr>
          <w:rFonts w:ascii="Arial" w:eastAsia="Times New Roman" w:hAnsi="Arial" w:cs="Arial"/>
          <w:b/>
          <w:color w:val="0D552F"/>
          <w:lang w:eastAsia="fr-FR"/>
        </w:rPr>
        <w:t xml:space="preserve"> à clé indépendant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</w:p>
    <w:p w:rsidR="006C68A9" w:rsidRDefault="004F06BF" w:rsidP="006C68A9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 xml:space="preserve">(Ouvrant 32 </w:t>
      </w:r>
      <w:proofErr w:type="gramStart"/>
      <w:r>
        <w:rPr>
          <w:rFonts w:ascii="Arial" w:eastAsia="Times New Roman" w:hAnsi="Arial" w:cs="Arial"/>
          <w:b/>
          <w:color w:val="0D552F"/>
          <w:lang w:eastAsia="fr-FR"/>
        </w:rPr>
        <w:t>mm  uniquement</w:t>
      </w:r>
      <w:proofErr w:type="gramEnd"/>
      <w:r>
        <w:rPr>
          <w:rFonts w:ascii="Arial" w:eastAsia="Times New Roman" w:hAnsi="Arial" w:cs="Arial"/>
          <w:b/>
          <w:color w:val="0D552F"/>
          <w:lang w:eastAsia="fr-FR"/>
        </w:rPr>
        <w:t xml:space="preserve">) </w:t>
      </w:r>
      <w:r w:rsidR="006C68A9">
        <w:rPr>
          <w:rFonts w:ascii="Arial" w:eastAsia="Times New Roman" w:hAnsi="Arial" w:cs="Arial"/>
          <w:b/>
          <w:color w:val="0D552F"/>
          <w:lang w:eastAsia="fr-FR"/>
        </w:rPr>
        <w:t xml:space="preserve">qui </w:t>
      </w:r>
      <w:r>
        <w:rPr>
          <w:rFonts w:ascii="Arial" w:eastAsia="Times New Roman" w:hAnsi="Arial" w:cs="Arial"/>
          <w:b/>
          <w:color w:val="0D552F"/>
          <w:lang w:eastAsia="fr-FR"/>
        </w:rPr>
        <w:t>perme</w:t>
      </w:r>
      <w:r w:rsidR="006C68A9">
        <w:rPr>
          <w:rFonts w:ascii="Arial" w:eastAsia="Times New Roman" w:hAnsi="Arial" w:cs="Arial"/>
          <w:b/>
          <w:color w:val="0D552F"/>
          <w:lang w:eastAsia="fr-FR"/>
        </w:rPr>
        <w:t>t</w:t>
      </w:r>
    </w:p>
    <w:p w:rsidR="006C68A9" w:rsidRDefault="006C68A9" w:rsidP="006C68A9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proofErr w:type="spellStart"/>
      <w:r>
        <w:rPr>
          <w:rFonts w:ascii="Arial" w:eastAsia="Times New Roman" w:hAnsi="Arial" w:cs="Arial"/>
          <w:b/>
          <w:color w:val="0D552F"/>
          <w:lang w:eastAsia="fr-FR"/>
        </w:rPr>
        <w:t>Eg</w:t>
      </w:r>
      <w:r w:rsidR="004F06BF">
        <w:rPr>
          <w:rFonts w:ascii="Arial" w:eastAsia="Times New Roman" w:hAnsi="Arial" w:cs="Arial"/>
          <w:b/>
          <w:color w:val="0D552F"/>
          <w:lang w:eastAsia="fr-FR"/>
        </w:rPr>
        <w:t>alement</w:t>
      </w:r>
      <w:proofErr w:type="spellEnd"/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4F06BF">
        <w:rPr>
          <w:rFonts w:ascii="Arial" w:eastAsia="Times New Roman" w:hAnsi="Arial" w:cs="Arial"/>
          <w:b/>
          <w:color w:val="0D552F"/>
          <w:lang w:eastAsia="fr-FR"/>
        </w:rPr>
        <w:t>une ventilation à l’aide d’un</w:t>
      </w:r>
    </w:p>
    <w:p w:rsidR="007B0D6A" w:rsidRPr="00080898" w:rsidRDefault="004F06BF" w:rsidP="00265DF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D552F"/>
          <w:lang w:eastAsia="fr-FR"/>
        </w:rPr>
        <w:t>entrebailleur</w:t>
      </w:r>
      <w:proofErr w:type="spellEnd"/>
      <w:proofErr w:type="gramEnd"/>
      <w:r>
        <w:rPr>
          <w:rFonts w:ascii="Arial" w:eastAsia="Times New Roman" w:hAnsi="Arial" w:cs="Arial"/>
          <w:b/>
          <w:color w:val="0D552F"/>
          <w:lang w:eastAsia="fr-FR"/>
        </w:rPr>
        <w:t>.</w:t>
      </w:r>
    </w:p>
    <w:p w:rsidR="004F06BF" w:rsidRDefault="004F06BF" w:rsidP="007B0D6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6B133E" w:rsidRDefault="006B133E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bookmarkStart w:id="2" w:name="_Hlk49436228"/>
      <w:r>
        <w:rPr>
          <w:rFonts w:ascii="Arial" w:hAnsi="Arial" w:cs="Arial"/>
        </w:rPr>
        <w:t>Configurations :</w:t>
      </w:r>
    </w:p>
    <w:p w:rsidR="00265DFB" w:rsidRDefault="00265DFB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265DFB" w:rsidRDefault="00265DFB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noProof/>
        </w:rPr>
        <w:drawing>
          <wp:inline distT="0" distB="0" distL="0" distR="0">
            <wp:extent cx="5760720" cy="9759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FB" w:rsidRDefault="00265DFB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noProof/>
        </w:rPr>
        <w:drawing>
          <wp:inline distT="0" distB="0" distL="0" distR="0">
            <wp:extent cx="2643588" cy="1012173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44" cy="105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3E" w:rsidRPr="006B133E" w:rsidRDefault="006B133E" w:rsidP="006B133E">
      <w:pPr>
        <w:overflowPunct w:val="0"/>
        <w:autoSpaceDE w:val="0"/>
        <w:autoSpaceDN w:val="0"/>
        <w:adjustRightInd w:val="0"/>
        <w:spacing w:after="0" w:line="240" w:lineRule="auto"/>
        <w:ind w:left="-142" w:firstLine="850"/>
        <w:jc w:val="both"/>
        <w:textAlignment w:val="baseline"/>
        <w:rPr>
          <w:rFonts w:ascii="Arial" w:hAnsi="Arial" w:cs="Arial"/>
          <w:b/>
          <w:color w:val="0D552F"/>
        </w:rPr>
      </w:pPr>
    </w:p>
    <w:bookmarkEnd w:id="2"/>
    <w:p w:rsidR="00636C8A" w:rsidRPr="007B0D6A" w:rsidRDefault="007B0D6A" w:rsidP="007B0D6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 w:rsidRPr="007B0D6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B0D6A">
        <w:rPr>
          <w:rFonts w:ascii="Arial" w:hAnsi="Arial" w:cs="Arial"/>
        </w:rPr>
        <w:t>Option :</w:t>
      </w:r>
      <w:r w:rsidR="00265DFB">
        <w:rPr>
          <w:rFonts w:ascii="Arial" w:hAnsi="Arial" w:cs="Arial"/>
        </w:rPr>
        <w:tab/>
      </w:r>
      <w:r w:rsidR="00265DFB">
        <w:rPr>
          <w:rFonts w:ascii="Arial" w:hAnsi="Arial" w:cs="Arial"/>
        </w:rPr>
        <w:tab/>
      </w:r>
      <w:r w:rsidR="00265DFB">
        <w:rPr>
          <w:rFonts w:ascii="Arial" w:hAnsi="Arial" w:cs="Arial"/>
        </w:rPr>
        <w:tab/>
      </w:r>
      <w:r w:rsidR="00265DFB">
        <w:rPr>
          <w:rFonts w:ascii="Arial" w:hAnsi="Arial" w:cs="Arial"/>
        </w:rPr>
        <w:tab/>
      </w:r>
      <w:r w:rsidR="00265DFB">
        <w:rPr>
          <w:rFonts w:ascii="Arial" w:hAnsi="Arial" w:cs="Arial"/>
        </w:rPr>
        <w:tab/>
      </w:r>
      <w:r w:rsidRPr="007B0D6A">
        <w:rPr>
          <w:rFonts w:ascii="Arial" w:hAnsi="Arial" w:cs="Arial"/>
          <w:b/>
          <w:color w:val="0D552F"/>
        </w:rPr>
        <w:t>Motorisation possible sur consultation</w:t>
      </w:r>
      <w:r w:rsidR="00080898">
        <w:rPr>
          <w:rFonts w:ascii="Arial" w:hAnsi="Arial" w:cs="Arial"/>
          <w:b/>
          <w:color w:val="0D552F"/>
        </w:rPr>
        <w:t>.</w:t>
      </w:r>
      <w:r w:rsidR="00636C8A" w:rsidRPr="007B0D6A">
        <w:rPr>
          <w:rFonts w:ascii="Arial" w:hAnsi="Arial" w:cs="Arial"/>
          <w:color w:val="0D552F"/>
        </w:rPr>
        <w:t xml:space="preserve"> </w:t>
      </w:r>
    </w:p>
    <w:p w:rsidR="00BC158C" w:rsidRPr="00636C8A" w:rsidRDefault="004F06BF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    </w:t>
      </w:r>
    </w:p>
    <w:p w:rsidR="00271CBB" w:rsidRPr="00636C8A" w:rsidRDefault="00271CBB" w:rsidP="00BC158C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VITRAGE ET REMPLISSAGE :</w:t>
      </w:r>
    </w:p>
    <w:p w:rsidR="0050583B" w:rsidRPr="0050583B" w:rsidRDefault="0050583B" w:rsidP="005058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7B0D6A" w:rsidRDefault="00732C2D" w:rsidP="00732C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Des joints chaussettes </w:t>
      </w:r>
      <w:proofErr w:type="gramStart"/>
      <w:r w:rsidRPr="00732C2D">
        <w:rPr>
          <w:rFonts w:ascii="Arial" w:eastAsia="Times New Roman" w:hAnsi="Arial" w:cs="Arial"/>
          <w:szCs w:val="24"/>
          <w:lang w:eastAsia="fr-FR"/>
        </w:rPr>
        <w:t>permett</w:t>
      </w:r>
      <w:r>
        <w:rPr>
          <w:rFonts w:ascii="Arial" w:eastAsia="Times New Roman" w:hAnsi="Arial" w:cs="Arial"/>
          <w:szCs w:val="24"/>
          <w:lang w:eastAsia="fr-FR"/>
        </w:rPr>
        <w:t xml:space="preserve">ent </w:t>
      </w:r>
      <w:r w:rsidRPr="00732C2D">
        <w:rPr>
          <w:rFonts w:ascii="Arial" w:eastAsia="Times New Roman" w:hAnsi="Arial" w:cs="Arial"/>
          <w:szCs w:val="24"/>
          <w:lang w:eastAsia="fr-FR"/>
        </w:rPr>
        <w:t xml:space="preserve"> la</w:t>
      </w:r>
      <w:proofErr w:type="gramEnd"/>
      <w:r w:rsidRPr="00732C2D">
        <w:rPr>
          <w:rFonts w:ascii="Arial" w:eastAsia="Times New Roman" w:hAnsi="Arial" w:cs="Arial"/>
          <w:szCs w:val="24"/>
          <w:lang w:eastAsia="fr-FR"/>
        </w:rPr>
        <w:t xml:space="preserve"> prise en portefeuille </w:t>
      </w:r>
      <w:r w:rsidR="007B0D6A">
        <w:rPr>
          <w:rFonts w:ascii="Arial" w:eastAsia="Times New Roman" w:hAnsi="Arial" w:cs="Arial"/>
          <w:szCs w:val="24"/>
          <w:lang w:eastAsia="fr-FR"/>
        </w:rPr>
        <w:t>de</w:t>
      </w:r>
      <w:r w:rsidRPr="00732C2D">
        <w:rPr>
          <w:rFonts w:ascii="Arial" w:eastAsia="Times New Roman" w:hAnsi="Arial" w:cs="Arial"/>
          <w:szCs w:val="24"/>
          <w:lang w:eastAsia="fr-FR"/>
        </w:rPr>
        <w:t xml:space="preserve"> </w:t>
      </w:r>
      <w:r w:rsidR="007B0D6A">
        <w:rPr>
          <w:rFonts w:ascii="Arial" w:eastAsia="Times New Roman" w:hAnsi="Arial" w:cs="Arial"/>
          <w:szCs w:val="24"/>
          <w:lang w:eastAsia="fr-FR"/>
        </w:rPr>
        <w:t>vitrages</w:t>
      </w:r>
      <w:r w:rsidRPr="00732C2D">
        <w:rPr>
          <w:rFonts w:ascii="Arial" w:eastAsia="Times New Roman" w:hAnsi="Arial" w:cs="Arial"/>
          <w:szCs w:val="24"/>
          <w:lang w:eastAsia="fr-FR"/>
        </w:rPr>
        <w:t xml:space="preserve"> d’épaisseur</w:t>
      </w:r>
    </w:p>
    <w:p w:rsidR="007B0D6A" w:rsidRPr="007B0D6A" w:rsidRDefault="007B0D6A" w:rsidP="00732C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B0D6A">
        <w:rPr>
          <w:rFonts w:ascii="Arial" w:eastAsia="Times New Roman" w:hAnsi="Arial" w:cs="Arial"/>
          <w:b/>
          <w:color w:val="0D552F"/>
          <w:szCs w:val="24"/>
          <w:lang w:eastAsia="fr-FR"/>
        </w:rPr>
        <w:t>- 24 mm</w:t>
      </w:r>
    </w:p>
    <w:p w:rsidR="007B0D6A" w:rsidRPr="007B0D6A" w:rsidRDefault="007B0D6A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B0D6A">
        <w:rPr>
          <w:rFonts w:ascii="Arial" w:eastAsia="Times New Roman" w:hAnsi="Arial" w:cs="Arial"/>
          <w:b/>
          <w:color w:val="0D552F"/>
          <w:szCs w:val="24"/>
          <w:lang w:eastAsia="fr-FR"/>
        </w:rPr>
        <w:t>- 26 à 28 mm</w:t>
      </w:r>
    </w:p>
    <w:p w:rsidR="007B0D6A" w:rsidRPr="007B0D6A" w:rsidRDefault="007B0D6A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B0D6A">
        <w:rPr>
          <w:rFonts w:ascii="Arial" w:eastAsia="Times New Roman" w:hAnsi="Arial" w:cs="Arial"/>
          <w:b/>
          <w:color w:val="0D552F"/>
          <w:szCs w:val="24"/>
          <w:lang w:eastAsia="fr-FR"/>
        </w:rPr>
        <w:t>- 32 mm</w:t>
      </w:r>
    </w:p>
    <w:p w:rsidR="00BC158C" w:rsidRDefault="00732C2D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un poid</w:t>
      </w:r>
      <w:r w:rsidR="004F06BF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 xml:space="preserve"> maximum par ouvrant de </w:t>
      </w:r>
      <w:r w:rsidR="007B0D6A" w:rsidRPr="007B0D6A">
        <w:rPr>
          <w:rFonts w:ascii="Arial" w:eastAsia="Times New Roman" w:hAnsi="Arial" w:cs="Arial"/>
          <w:b/>
          <w:color w:val="0D552F"/>
          <w:szCs w:val="24"/>
          <w:lang w:eastAsia="fr-FR"/>
        </w:rPr>
        <w:t>250 Kg</w:t>
      </w:r>
      <w:r w:rsidRPr="007B0D6A">
        <w:rPr>
          <w:rFonts w:ascii="Arial" w:eastAsia="Times New Roman" w:hAnsi="Arial" w:cs="Arial"/>
          <w:b/>
          <w:color w:val="0D552F"/>
          <w:szCs w:val="24"/>
          <w:lang w:eastAsia="fr-FR"/>
        </w:rPr>
        <w:t>.</w:t>
      </w:r>
    </w:p>
    <w:p w:rsidR="00265DFB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265DFB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265DFB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265DFB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</w:p>
    <w:p w:rsidR="007B0D6A" w:rsidRDefault="007B0D6A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265DFB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265DFB" w:rsidRPr="007B0D6A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F92BDE" w:rsidRPr="00F92BDE" w:rsidRDefault="00F92BDE" w:rsidP="00F92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4"/>
          <w:lang w:eastAsia="fr-FR"/>
        </w:rPr>
      </w:pPr>
      <w:r w:rsidRPr="00F92BD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des ouvrants,</w:t>
      </w:r>
      <w:r w:rsidRPr="00F92BDE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débités en coupe droite, seront assemblés par vissage direct à l’aide de vis inox dans les </w:t>
      </w:r>
      <w:proofErr w:type="spell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alveovis</w:t>
      </w:r>
      <w:proofErr w:type="spell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des </w:t>
      </w:r>
      <w:proofErr w:type="gramStart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traverses;</w:t>
      </w:r>
      <w:proofErr w:type="gramEnd"/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les traverses pénétrant dans les montants.</w:t>
      </w:r>
    </w:p>
    <w:p w:rsidR="00F92BDE" w:rsidRPr="00F92BDE" w:rsidRDefault="00F92BDE" w:rsidP="00F92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F92BDE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du dormant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débité en coupe d’onglet sera réalisé avec des équerres en aluminium épousant la forme des tubulures qui seront</w:t>
      </w:r>
      <w:r w:rsidRPr="00F92BDE">
        <w:rPr>
          <w:rFonts w:ascii="Arial" w:eastAsia="Times New Roman" w:hAnsi="Arial" w:cs="Arial"/>
          <w:szCs w:val="24"/>
          <w:lang w:eastAsia="fr-FR"/>
        </w:rPr>
        <w:t xml:space="preserve"> serties</w:t>
      </w:r>
      <w:r w:rsidR="008113AC">
        <w:rPr>
          <w:rFonts w:ascii="Arial" w:eastAsia="Times New Roman" w:hAnsi="Arial" w:cs="Arial"/>
          <w:szCs w:val="24"/>
          <w:lang w:eastAsia="fr-FR"/>
        </w:rPr>
        <w:t>,</w:t>
      </w:r>
      <w:r w:rsidRPr="00F92BDE">
        <w:rPr>
          <w:rFonts w:ascii="Arial" w:eastAsia="Times New Roman" w:hAnsi="Arial" w:cs="Arial"/>
          <w:szCs w:val="24"/>
          <w:lang w:eastAsia="fr-FR"/>
        </w:rPr>
        <w:t xml:space="preserve"> goupillées</w:t>
      </w:r>
      <w:r w:rsidR="008113AC">
        <w:rPr>
          <w:rFonts w:ascii="Arial" w:eastAsia="Times New Roman" w:hAnsi="Arial" w:cs="Arial"/>
          <w:szCs w:val="24"/>
          <w:lang w:eastAsia="fr-FR"/>
        </w:rPr>
        <w:t xml:space="preserve"> ou vissées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après encollage d’étanchéité de la coupe </w:t>
      </w:r>
      <w:r w:rsidR="007B0D6A">
        <w:rPr>
          <w:rFonts w:ascii="Arial" w:eastAsia="Times New Roman" w:hAnsi="Arial" w:cs="Arial"/>
          <w:bCs/>
          <w:iCs/>
          <w:szCs w:val="24"/>
          <w:lang w:eastAsia="fr-FR"/>
        </w:rPr>
        <w:t xml:space="preserve">qui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assurera dans tous les cas un auto-serrage de l’assemblage. </w:t>
      </w:r>
      <w:r w:rsidRPr="00F92BDE">
        <w:rPr>
          <w:rFonts w:ascii="Arial" w:eastAsia="Times New Roman" w:hAnsi="Arial" w:cs="Arial"/>
          <w:szCs w:val="24"/>
          <w:lang w:eastAsia="fr-FR"/>
        </w:rPr>
        <w:t>Les stabilisateurs d’ailes en inox garantiront la planéité des onglets.</w:t>
      </w: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d’usinage .</w:t>
      </w:r>
      <w:proofErr w:type="gramEnd"/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Les drainages sont recouverts d’un déflecteur </w:t>
      </w:r>
      <w:proofErr w:type="spellStart"/>
      <w:r w:rsidRPr="00BC158C">
        <w:rPr>
          <w:rFonts w:ascii="Arial" w:eastAsia="Times New Roman" w:hAnsi="Arial" w:cs="Arial"/>
          <w:szCs w:val="24"/>
          <w:lang w:eastAsia="fr-FR"/>
        </w:rPr>
        <w:t>a</w:t>
      </w:r>
      <w:proofErr w:type="spellEnd"/>
      <w:r w:rsidRPr="00BC158C">
        <w:rPr>
          <w:rFonts w:ascii="Arial" w:eastAsia="Times New Roman" w:hAnsi="Arial" w:cs="Arial"/>
          <w:szCs w:val="24"/>
          <w:lang w:eastAsia="fr-FR"/>
        </w:rPr>
        <w:t xml:space="preserve"> membrane, empêchant l’air et l’eau de rentrer dans le châssis par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les drainage</w:t>
      </w:r>
      <w:proofErr w:type="gramEnd"/>
      <w:r w:rsidRPr="00BC158C">
        <w:rPr>
          <w:rFonts w:ascii="Arial" w:eastAsia="Times New Roman" w:hAnsi="Arial" w:cs="Arial"/>
          <w:szCs w:val="24"/>
          <w:lang w:eastAsia="fr-FR"/>
        </w:rPr>
        <w:t>.</w:t>
      </w:r>
    </w:p>
    <w:p w:rsidR="006C68A9" w:rsidRDefault="006C68A9" w:rsidP="007B0D6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BC158C" w:rsidRPr="007B0D6A" w:rsidRDefault="007B0D6A" w:rsidP="007B0D6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M</w:t>
      </w:r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ANŒUVRE </w:t>
      </w:r>
      <w:proofErr w:type="gramStart"/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ET  FERMETURE</w:t>
      </w:r>
      <w:proofErr w:type="gramEnd"/>
      <w:r w:rsidR="00BC158C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  <w:r w:rsidRPr="005D0D56">
        <w:rPr>
          <w:rFonts w:ascii="Arial" w:eastAsia="Times New Roman" w:hAnsi="Arial" w:cs="Arial"/>
          <w:b/>
          <w:color w:val="0D552F"/>
          <w:szCs w:val="24"/>
          <w:lang w:eastAsia="fr-FR"/>
        </w:rPr>
        <w:t>Le chemin de roulement</w:t>
      </w:r>
      <w:r w:rsidRPr="005D0D56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 xml:space="preserve">amovible (pour un remplacement futur) sera soit en aluminium </w:t>
      </w:r>
      <w:proofErr w:type="gramStart"/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>anodisé ,</w:t>
      </w:r>
      <w:proofErr w:type="gramEnd"/>
      <w:r w:rsidRPr="005D0D56">
        <w:rPr>
          <w:rFonts w:ascii="Arial" w:eastAsia="Times New Roman" w:hAnsi="Arial" w:cs="Arial"/>
          <w:bCs/>
          <w:iCs/>
          <w:szCs w:val="24"/>
          <w:lang w:eastAsia="fr-FR"/>
        </w:rPr>
        <w:t xml:space="preserve"> soit en inox, soit en polyamide qui permet un déplacement des vantaux souples et silencieux .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 Les galets simples</w:t>
      </w:r>
      <w:r w:rsidR="00592B1F">
        <w:rPr>
          <w:rFonts w:ascii="Arial" w:eastAsia="Times New Roman" w:hAnsi="Arial" w:cs="Arial"/>
          <w:szCs w:val="20"/>
          <w:lang w:eastAsia="fr-FR"/>
        </w:rPr>
        <w:t>,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 doubles </w:t>
      </w:r>
      <w:r w:rsidR="007B0D6A">
        <w:rPr>
          <w:rFonts w:ascii="Arial" w:eastAsia="Times New Roman" w:hAnsi="Arial" w:cs="Arial"/>
          <w:szCs w:val="20"/>
          <w:lang w:eastAsia="fr-FR"/>
        </w:rPr>
        <w:t xml:space="preserve">ou triples </w:t>
      </w:r>
      <w:r w:rsidRPr="005D0D56">
        <w:rPr>
          <w:rFonts w:ascii="Arial" w:eastAsia="Times New Roman" w:hAnsi="Arial" w:cs="Arial"/>
          <w:szCs w:val="20"/>
          <w:lang w:eastAsia="fr-FR"/>
        </w:rPr>
        <w:t xml:space="preserve">assurent un usage pour les </w:t>
      </w:r>
      <w:r w:rsidR="00592B1F">
        <w:rPr>
          <w:rFonts w:ascii="Arial" w:eastAsia="Times New Roman" w:hAnsi="Arial" w:cs="Arial"/>
          <w:szCs w:val="20"/>
          <w:lang w:eastAsia="fr-FR"/>
        </w:rPr>
        <w:t xml:space="preserve">grandes </w:t>
      </w:r>
      <w:r w:rsidRPr="005D0D56">
        <w:rPr>
          <w:rFonts w:ascii="Arial" w:eastAsia="Times New Roman" w:hAnsi="Arial" w:cs="Arial"/>
          <w:szCs w:val="20"/>
          <w:lang w:eastAsia="fr-FR"/>
        </w:rPr>
        <w:t>dimensions de châssis.</w:t>
      </w:r>
    </w:p>
    <w:p w:rsidR="005D0D56" w:rsidRDefault="005D0D56" w:rsidP="005D0D5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fr-FR"/>
        </w:rPr>
      </w:pPr>
    </w:p>
    <w:p w:rsidR="00265DFB" w:rsidRDefault="005D0D56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5D0D56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La fermeture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pourra être simple ou multipoint (1</w:t>
      </w:r>
      <w:r w:rsidR="003443F8">
        <w:rPr>
          <w:rFonts w:ascii="Arial" w:eastAsia="Times New Roman" w:hAnsi="Arial" w:cs="Arial"/>
          <w:szCs w:val="24"/>
          <w:lang w:eastAsia="fr-FR"/>
        </w:rPr>
        <w:t xml:space="preserve"> à </w:t>
      </w:r>
      <w:r w:rsidR="006C68A9">
        <w:rPr>
          <w:rFonts w:ascii="Arial" w:eastAsia="Times New Roman" w:hAnsi="Arial" w:cs="Arial"/>
          <w:szCs w:val="24"/>
          <w:lang w:eastAsia="fr-FR"/>
        </w:rPr>
        <w:t>3</w:t>
      </w:r>
      <w:r w:rsidR="003443F8">
        <w:rPr>
          <w:rFonts w:ascii="Arial" w:eastAsia="Times New Roman" w:hAnsi="Arial" w:cs="Arial"/>
          <w:szCs w:val="24"/>
          <w:lang w:eastAsia="fr-FR"/>
        </w:rPr>
        <w:t xml:space="preserve"> pts)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avec intégration parfaite (gorge pour quincaillerie universelle)</w:t>
      </w:r>
      <w:r w:rsidR="006C68A9">
        <w:rPr>
          <w:rFonts w:ascii="Arial" w:eastAsia="Times New Roman" w:hAnsi="Arial" w:cs="Arial"/>
          <w:szCs w:val="24"/>
          <w:lang w:eastAsia="fr-FR"/>
        </w:rPr>
        <w:t xml:space="preserve"> </w:t>
      </w:r>
      <w:r w:rsidR="006C68A9" w:rsidRPr="006C68A9">
        <w:rPr>
          <w:rFonts w:ascii="Arial" w:eastAsia="Times New Roman" w:hAnsi="Arial" w:cs="Arial"/>
          <w:b/>
          <w:color w:val="0D552F"/>
          <w:szCs w:val="24"/>
          <w:lang w:eastAsia="fr-FR"/>
        </w:rPr>
        <w:t>ou avec la s</w:t>
      </w:r>
      <w:r w:rsidR="006C68A9" w:rsidRPr="006C68A9">
        <w:rPr>
          <w:rFonts w:ascii="Arial" w:eastAsia="Times New Roman" w:hAnsi="Arial" w:cs="Arial"/>
          <w:b/>
          <w:color w:val="0D552F"/>
          <w:lang w:eastAsia="fr-FR"/>
        </w:rPr>
        <w:t xml:space="preserve">errure </w:t>
      </w:r>
      <w:r w:rsidR="006C68A9">
        <w:rPr>
          <w:rFonts w:ascii="Arial" w:eastAsia="Times New Roman" w:hAnsi="Arial" w:cs="Arial"/>
          <w:b/>
          <w:color w:val="0D552F"/>
          <w:lang w:eastAsia="fr-FR"/>
        </w:rPr>
        <w:t xml:space="preserve">de </w:t>
      </w:r>
      <w:proofErr w:type="spellStart"/>
      <w:r w:rsidR="006C68A9">
        <w:rPr>
          <w:rFonts w:ascii="Arial" w:eastAsia="Times New Roman" w:hAnsi="Arial" w:cs="Arial"/>
          <w:b/>
          <w:color w:val="0D552F"/>
          <w:lang w:eastAsia="fr-FR"/>
        </w:rPr>
        <w:t>securité</w:t>
      </w:r>
      <w:proofErr w:type="spellEnd"/>
      <w:r w:rsidR="006C68A9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="006C68A9" w:rsidRPr="004F06BF">
        <w:rPr>
          <w:rFonts w:ascii="Arial" w:eastAsia="Times New Roman" w:hAnsi="Arial" w:cs="Arial"/>
          <w:b/>
          <w:color w:val="0D552F"/>
          <w:lang w:eastAsia="fr-FR"/>
        </w:rPr>
        <w:t xml:space="preserve">« V2P » de 3 à 5 </w:t>
      </w:r>
      <w:proofErr w:type="gramStart"/>
      <w:r w:rsidR="006C68A9" w:rsidRPr="004F06BF">
        <w:rPr>
          <w:rFonts w:ascii="Arial" w:eastAsia="Times New Roman" w:hAnsi="Arial" w:cs="Arial"/>
          <w:b/>
          <w:color w:val="0D552F"/>
          <w:lang w:eastAsia="fr-FR"/>
        </w:rPr>
        <w:t>pts</w:t>
      </w:r>
      <w:r w:rsidR="006C68A9">
        <w:rPr>
          <w:rFonts w:ascii="Arial" w:eastAsia="Times New Roman" w:hAnsi="Arial" w:cs="Arial"/>
          <w:b/>
          <w:color w:val="0D552F"/>
          <w:lang w:eastAsia="fr-FR"/>
        </w:rPr>
        <w:t xml:space="preserve">,   </w:t>
      </w:r>
      <w:proofErr w:type="gramEnd"/>
      <w:r w:rsidR="006C68A9">
        <w:rPr>
          <w:rFonts w:ascii="Arial" w:eastAsia="Times New Roman" w:hAnsi="Arial" w:cs="Arial"/>
          <w:b/>
          <w:color w:val="0D552F"/>
          <w:lang w:eastAsia="fr-FR"/>
        </w:rPr>
        <w:t xml:space="preserve">                                                              </w:t>
      </w:r>
      <w:r w:rsidR="006C68A9" w:rsidRPr="004F06BF">
        <w:rPr>
          <w:rFonts w:ascii="Arial" w:eastAsia="Times New Roman" w:hAnsi="Arial" w:cs="Arial"/>
          <w:b/>
          <w:color w:val="0D552F"/>
          <w:lang w:eastAsia="fr-FR"/>
        </w:rPr>
        <w:t xml:space="preserve">verrouillage </w:t>
      </w:r>
      <w:proofErr w:type="spellStart"/>
      <w:r w:rsidR="006C68A9" w:rsidRPr="004F06BF">
        <w:rPr>
          <w:rFonts w:ascii="Arial" w:eastAsia="Times New Roman" w:hAnsi="Arial" w:cs="Arial"/>
          <w:b/>
          <w:color w:val="0D552F"/>
          <w:lang w:eastAsia="fr-FR"/>
        </w:rPr>
        <w:t>bi</w:t>
      </w:r>
      <w:r w:rsidR="006C68A9">
        <w:rPr>
          <w:rFonts w:ascii="Arial" w:eastAsia="Times New Roman" w:hAnsi="Arial" w:cs="Arial"/>
          <w:b/>
          <w:color w:val="0D552F"/>
          <w:lang w:eastAsia="fr-FR"/>
        </w:rPr>
        <w:t>-</w:t>
      </w:r>
      <w:r w:rsidR="006C68A9" w:rsidRPr="004F06BF">
        <w:rPr>
          <w:rFonts w:ascii="Arial" w:eastAsia="Times New Roman" w:hAnsi="Arial" w:cs="Arial"/>
          <w:b/>
          <w:color w:val="0D552F"/>
          <w:lang w:eastAsia="fr-FR"/>
        </w:rPr>
        <w:t>directionnel</w:t>
      </w:r>
      <w:proofErr w:type="spellEnd"/>
      <w:r w:rsidR="006C68A9" w:rsidRPr="004F06BF">
        <w:rPr>
          <w:rFonts w:ascii="Arial" w:eastAsia="Times New Roman" w:hAnsi="Arial" w:cs="Arial"/>
          <w:b/>
          <w:color w:val="0D552F"/>
          <w:lang w:eastAsia="fr-FR"/>
        </w:rPr>
        <w:t xml:space="preserve"> à clé indépendant</w:t>
      </w:r>
      <w:r w:rsidR="006C68A9">
        <w:rPr>
          <w:rFonts w:ascii="Arial" w:eastAsia="Times New Roman" w:hAnsi="Arial" w:cs="Arial"/>
          <w:b/>
          <w:color w:val="0D552F"/>
          <w:lang w:eastAsia="fr-FR"/>
        </w:rPr>
        <w:t xml:space="preserve"> (Ouvrant 32 mm  uniquement) qui permet également une ventilation à l’aide d’un </w:t>
      </w:r>
      <w:proofErr w:type="spellStart"/>
      <w:r w:rsidR="006C68A9">
        <w:rPr>
          <w:rFonts w:ascii="Arial" w:eastAsia="Times New Roman" w:hAnsi="Arial" w:cs="Arial"/>
          <w:b/>
          <w:color w:val="0D552F"/>
          <w:lang w:eastAsia="fr-FR"/>
        </w:rPr>
        <w:t>entrebailleur</w:t>
      </w:r>
      <w:proofErr w:type="spellEnd"/>
      <w:r w:rsidR="006C68A9">
        <w:rPr>
          <w:rFonts w:ascii="Arial" w:eastAsia="Times New Roman" w:hAnsi="Arial" w:cs="Arial"/>
          <w:b/>
          <w:color w:val="0D552F"/>
          <w:lang w:eastAsia="fr-FR"/>
        </w:rPr>
        <w:t>.</w:t>
      </w:r>
    </w:p>
    <w:p w:rsidR="005D0D56" w:rsidRPr="00265DFB" w:rsidRDefault="005D0D56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5D0D56">
        <w:rPr>
          <w:rFonts w:ascii="Arial" w:eastAsia="Times New Roman" w:hAnsi="Arial" w:cs="Arial"/>
          <w:szCs w:val="24"/>
          <w:lang w:eastAsia="fr-FR"/>
        </w:rPr>
        <w:t xml:space="preserve">Un système anti-dégondage sera intégré dans les montants </w:t>
      </w:r>
      <w:r w:rsidR="00080898">
        <w:rPr>
          <w:rFonts w:ascii="Arial" w:eastAsia="Times New Roman" w:hAnsi="Arial" w:cs="Arial"/>
          <w:szCs w:val="24"/>
          <w:lang w:eastAsia="fr-FR"/>
        </w:rPr>
        <w:t>les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ouvrants.</w:t>
      </w:r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FIXATION AU GROS </w:t>
      </w:r>
      <w:proofErr w:type="gramStart"/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OEUVRE:</w:t>
      </w:r>
      <w:proofErr w:type="gramEnd"/>
    </w:p>
    <w:p w:rsidR="000E68D3" w:rsidRPr="007D72E0" w:rsidRDefault="000E68D3" w:rsidP="000E68D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>Les portes</w:t>
      </w:r>
      <w:r w:rsidR="00373E6B">
        <w:rPr>
          <w:rFonts w:ascii="Arial" w:eastAsia="Times New Roman" w:hAnsi="Arial" w:cs="Arial"/>
          <w:snapToGrid w:val="0"/>
          <w:color w:val="000000"/>
          <w:lang w:eastAsia="fr-FR"/>
        </w:rPr>
        <w:t>-fenêtres</w:t>
      </w: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 xml:space="preserve"> et fenêtres </w:t>
      </w:r>
      <w:r w:rsidRPr="009F64EB">
        <w:rPr>
          <w:rFonts w:ascii="Arial" w:eastAsia="Times New Roman" w:hAnsi="Arial" w:cs="Arial"/>
          <w:lang w:eastAsia="fr-FR"/>
        </w:rPr>
        <w:t xml:space="preserve">doivent être placées de niveau, d’aplomb, perpendiculairement et sans gauchissement. La fixation des menuiseries extérieures en aluminium est effectuée à l’aide de pièces d’ancrages adaptées, en aluminium ou en acier galvanisé devra être réalisée dans un </w:t>
      </w:r>
      <w:proofErr w:type="spellStart"/>
      <w:r w:rsidRPr="009F64EB">
        <w:rPr>
          <w:rFonts w:ascii="Arial" w:eastAsia="Times New Roman" w:hAnsi="Arial" w:cs="Arial"/>
          <w:lang w:eastAsia="fr-FR"/>
        </w:rPr>
        <w:t>pré-cadre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en aluminium ou en acier zingué à chaud. Afin d’éviter le transfert du froid entre les murs et les fenêtres, ces pièces de fixation sont </w:t>
      </w:r>
      <w:proofErr w:type="gramStart"/>
      <w:r w:rsidRPr="009F64EB">
        <w:rPr>
          <w:rFonts w:ascii="Arial" w:eastAsia="Times New Roman" w:hAnsi="Arial" w:cs="Arial"/>
          <w:lang w:eastAsia="fr-FR"/>
        </w:rPr>
        <w:t>isolés</w:t>
      </w:r>
      <w:proofErr w:type="gramEnd"/>
      <w:r w:rsidRPr="009F64EB">
        <w:rPr>
          <w:rFonts w:ascii="Arial" w:eastAsia="Times New Roman" w:hAnsi="Arial" w:cs="Arial"/>
          <w:lang w:eastAsia="fr-FR"/>
        </w:rPr>
        <w:t xml:space="preserve"> de la menuiserie par une cale isolante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Une fixation sur le mur extérieur est permise par l’utilisation d’une pièce d’ancrage spécifique équipée d’une isolation.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Il convient de suivre les recommandations suivantes lors de l’installation des fenêtres :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Deux fixations au minimum doivent être prévues sur chaque hauteur et chaque largeur, tout autour de la fenêtre à une distance maximale de 200mm par rapport aux angles et aux montants de séparations. La distance entre les fixations ne peut dépasser 500 </w:t>
      </w:r>
      <w:proofErr w:type="spellStart"/>
      <w:r w:rsidRPr="009F64EB">
        <w:rPr>
          <w:rFonts w:ascii="Arial" w:eastAsia="Times New Roman" w:hAnsi="Arial" w:cs="Arial"/>
          <w:lang w:eastAsia="fr-FR"/>
        </w:rPr>
        <w:t>mm.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La mise en œuvre des menuiseries devra être conforme au DTU de pose </w:t>
      </w:r>
      <w:proofErr w:type="gramStart"/>
      <w:r w:rsidRPr="009F64EB">
        <w:rPr>
          <w:rFonts w:ascii="Arial" w:eastAsia="Times New Roman" w:hAnsi="Arial" w:cs="Arial"/>
          <w:lang w:eastAsia="fr-FR"/>
        </w:rPr>
        <w:t>36.5 .</w:t>
      </w:r>
      <w:proofErr w:type="gramEnd"/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pièces d’appui</w:t>
      </w:r>
      <w:r w:rsidRPr="009F64EB">
        <w:rPr>
          <w:rFonts w:ascii="Arial" w:eastAsia="Times New Roman" w:hAnsi="Arial" w:cs="Arial"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lang w:eastAsia="fr-FR"/>
        </w:rPr>
        <w:t>pourront être clipsées ou vissées dans les gorges (bavette et tapée) sur le dormant.</w:t>
      </w:r>
    </w:p>
    <w:p w:rsidR="00265DF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65DF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65DF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65DF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65DF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65DFB" w:rsidRPr="009F64E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CALFEUTREMENT :</w:t>
      </w: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Tous les calfeutrements nécessaires à une parfaite finition et étanchéité sont à prévoir en tôle d’aluminium. </w:t>
      </w:r>
    </w:p>
    <w:p w:rsidR="000E68D3" w:rsidRPr="007D72E0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D72E0">
        <w:rPr>
          <w:rFonts w:ascii="Arial" w:eastAsia="Times New Roman" w:hAnsi="Arial" w:cs="Arial"/>
          <w:lang w:eastAsia="fr-FR"/>
        </w:rPr>
        <w:t xml:space="preserve">L’étanchéité entre le gros œuvre et la menuiserie Aluminium est assurée par un fond de joint recouvert d’un mastic élastomère </w:t>
      </w:r>
      <w:r>
        <w:rPr>
          <w:rFonts w:ascii="Arial" w:eastAsia="Times New Roman" w:hAnsi="Arial" w:cs="Arial"/>
          <w:lang w:eastAsia="fr-FR"/>
        </w:rPr>
        <w:t xml:space="preserve">de </w:t>
      </w:r>
      <w:r w:rsidRPr="007D72E0">
        <w:rPr>
          <w:rFonts w:ascii="Arial" w:eastAsia="Times New Roman" w:hAnsi="Arial" w:cs="Arial"/>
          <w:lang w:eastAsia="fr-FR"/>
        </w:rPr>
        <w:t>1</w:t>
      </w:r>
      <w:r w:rsidRPr="00E47AF4">
        <w:rPr>
          <w:rFonts w:ascii="Arial" w:eastAsia="Times New Roman" w:hAnsi="Arial" w:cs="Arial"/>
          <w:vertAlign w:val="superscript"/>
          <w:lang w:eastAsia="fr-FR"/>
        </w:rPr>
        <w:t>ère</w:t>
      </w:r>
      <w:r w:rsidRPr="007D72E0">
        <w:rPr>
          <w:rFonts w:ascii="Arial" w:eastAsia="Times New Roman" w:hAnsi="Arial" w:cs="Arial"/>
          <w:lang w:eastAsia="fr-FR"/>
        </w:rPr>
        <w:t xml:space="preserve"> catégorie</w:t>
      </w:r>
      <w:r w:rsidRPr="00E47AF4">
        <w:rPr>
          <w:rFonts w:ascii="Arial" w:eastAsia="Times New Roman" w:hAnsi="Arial" w:cs="Arial"/>
          <w:lang w:eastAsia="fr-FR"/>
        </w:rPr>
        <w:t xml:space="preserve"> </w:t>
      </w:r>
      <w:r w:rsidRPr="007D72E0">
        <w:rPr>
          <w:rFonts w:ascii="Arial" w:eastAsia="Times New Roman" w:hAnsi="Arial" w:cs="Arial"/>
          <w:lang w:eastAsia="fr-FR"/>
        </w:rPr>
        <w:t xml:space="preserve">ou joint préformé </w:t>
      </w:r>
      <w:r>
        <w:rPr>
          <w:rFonts w:ascii="Arial" w:eastAsia="Times New Roman" w:hAnsi="Arial" w:cs="Arial"/>
          <w:lang w:eastAsia="fr-FR"/>
        </w:rPr>
        <w:t xml:space="preserve">et </w:t>
      </w:r>
      <w:r w:rsidRPr="00881119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>eront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conformes aux indications du </w:t>
      </w:r>
      <w:proofErr w:type="gramStart"/>
      <w:r w:rsidRPr="007D72E0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J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F .</w:t>
      </w:r>
      <w:proofErr w:type="gramEnd"/>
    </w:p>
    <w:p w:rsidR="000E68D3" w:rsidRPr="00BC158C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Pr="000E68D3" w:rsidRDefault="00BC158C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0E68D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TRAITEMENT DE SURFACE :</w:t>
      </w:r>
    </w:p>
    <w:p w:rsidR="002F31D9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</w:p>
    <w:p w:rsidR="002F31D9" w:rsidRPr="00351760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2F31D9" w:rsidRPr="00351760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2F31D9" w:rsidRPr="00351760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2F31D9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2F31D9" w:rsidRDefault="002F31D9" w:rsidP="002F31D9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BC158C" w:rsidRPr="00BC158C" w:rsidRDefault="002F31D9" w:rsidP="003443F8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sectPr w:rsidR="00BC158C" w:rsidRPr="00BC158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31" w:rsidRDefault="00216F31">
      <w:pPr>
        <w:spacing w:after="0" w:line="240" w:lineRule="auto"/>
      </w:pPr>
      <w:r>
        <w:separator/>
      </w:r>
    </w:p>
  </w:endnote>
  <w:endnote w:type="continuationSeparator" w:id="0">
    <w:p w:rsidR="00216F31" w:rsidRDefault="002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447F18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142946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31" w:rsidRDefault="00216F31">
      <w:pPr>
        <w:spacing w:after="0" w:line="240" w:lineRule="auto"/>
      </w:pPr>
      <w:r>
        <w:separator/>
      </w:r>
    </w:p>
  </w:footnote>
  <w:footnote w:type="continuationSeparator" w:id="0">
    <w:p w:rsidR="00216F31" w:rsidRDefault="002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142946">
    <w:pPr>
      <w:pStyle w:val="En-tte"/>
    </w:pPr>
    <w:r>
      <w:rPr>
        <w:noProof/>
      </w:rPr>
      <w:drawing>
        <wp:inline distT="0" distB="0" distL="0" distR="0" wp14:anchorId="29D20C6C" wp14:editId="201862D2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372D2"/>
    <w:multiLevelType w:val="hybridMultilevel"/>
    <w:tmpl w:val="7E18F7A2"/>
    <w:lvl w:ilvl="0" w:tplc="5BB81406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2" w15:restartNumberingAfterBreak="0">
    <w:nsid w:val="3CFC6249"/>
    <w:multiLevelType w:val="hybridMultilevel"/>
    <w:tmpl w:val="D7880AA2"/>
    <w:lvl w:ilvl="0" w:tplc="5CFED7F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85B6C0A"/>
    <w:multiLevelType w:val="hybridMultilevel"/>
    <w:tmpl w:val="576C4816"/>
    <w:lvl w:ilvl="0" w:tplc="C0087CC0">
      <w:start w:val="6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DFA18B9"/>
    <w:multiLevelType w:val="hybridMultilevel"/>
    <w:tmpl w:val="7646DE6A"/>
    <w:lvl w:ilvl="0" w:tplc="3B9E680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45D9F"/>
    <w:rsid w:val="00080898"/>
    <w:rsid w:val="000C07F4"/>
    <w:rsid w:val="000E68D3"/>
    <w:rsid w:val="00114700"/>
    <w:rsid w:val="00121A38"/>
    <w:rsid w:val="00142946"/>
    <w:rsid w:val="00147FCC"/>
    <w:rsid w:val="001C4C2E"/>
    <w:rsid w:val="00216F31"/>
    <w:rsid w:val="00231ED3"/>
    <w:rsid w:val="00265DFB"/>
    <w:rsid w:val="00271CBB"/>
    <w:rsid w:val="00283011"/>
    <w:rsid w:val="002A2C8A"/>
    <w:rsid w:val="002D3CB0"/>
    <w:rsid w:val="002F31D9"/>
    <w:rsid w:val="0031690D"/>
    <w:rsid w:val="00321EEA"/>
    <w:rsid w:val="003443F8"/>
    <w:rsid w:val="00361BDD"/>
    <w:rsid w:val="00373E6B"/>
    <w:rsid w:val="003976E2"/>
    <w:rsid w:val="003F09A4"/>
    <w:rsid w:val="003F474F"/>
    <w:rsid w:val="00423405"/>
    <w:rsid w:val="00435F51"/>
    <w:rsid w:val="00447F18"/>
    <w:rsid w:val="004725D7"/>
    <w:rsid w:val="004B4FFE"/>
    <w:rsid w:val="004C2A69"/>
    <w:rsid w:val="004F06BF"/>
    <w:rsid w:val="0050583B"/>
    <w:rsid w:val="0054019D"/>
    <w:rsid w:val="00592B1F"/>
    <w:rsid w:val="005D0D56"/>
    <w:rsid w:val="00600F32"/>
    <w:rsid w:val="00636C8A"/>
    <w:rsid w:val="00670C82"/>
    <w:rsid w:val="00677A26"/>
    <w:rsid w:val="006904A1"/>
    <w:rsid w:val="006B133E"/>
    <w:rsid w:val="006C68A9"/>
    <w:rsid w:val="006D540C"/>
    <w:rsid w:val="00717001"/>
    <w:rsid w:val="00732C2D"/>
    <w:rsid w:val="00782AAE"/>
    <w:rsid w:val="007B0D6A"/>
    <w:rsid w:val="007B6D76"/>
    <w:rsid w:val="007E26B2"/>
    <w:rsid w:val="008113AC"/>
    <w:rsid w:val="00826856"/>
    <w:rsid w:val="00846174"/>
    <w:rsid w:val="00857D47"/>
    <w:rsid w:val="00891EB9"/>
    <w:rsid w:val="008D35A6"/>
    <w:rsid w:val="008D775C"/>
    <w:rsid w:val="008E2DE3"/>
    <w:rsid w:val="008E595D"/>
    <w:rsid w:val="00913FE1"/>
    <w:rsid w:val="009660F2"/>
    <w:rsid w:val="009A7D88"/>
    <w:rsid w:val="009B629A"/>
    <w:rsid w:val="00A129E8"/>
    <w:rsid w:val="00A23624"/>
    <w:rsid w:val="00A561A9"/>
    <w:rsid w:val="00A7421D"/>
    <w:rsid w:val="00AA1687"/>
    <w:rsid w:val="00B0312A"/>
    <w:rsid w:val="00B47D3B"/>
    <w:rsid w:val="00BA7A68"/>
    <w:rsid w:val="00BC158C"/>
    <w:rsid w:val="00BF2ACC"/>
    <w:rsid w:val="00CC1595"/>
    <w:rsid w:val="00D87B2C"/>
    <w:rsid w:val="00DE4245"/>
    <w:rsid w:val="00F92BDE"/>
    <w:rsid w:val="00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C610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paragraph" w:customStyle="1" w:styleId="Textepardfaut1">
    <w:name w:val="Texte par défaut:1"/>
    <w:basedOn w:val="Normal"/>
    <w:link w:val="Textepardfaut1Car"/>
    <w:rsid w:val="00231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Textepardfaut1Car">
    <w:name w:val="Texte par défaut:1 Car"/>
    <w:link w:val="Textepardfaut1"/>
    <w:rsid w:val="00231ED3"/>
    <w:rPr>
      <w:rFonts w:ascii="Times New Roman" w:eastAsia="Times New Roman" w:hAnsi="Times New Roman" w:cs="Times New Roman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9</cp:revision>
  <dcterms:created xsi:type="dcterms:W3CDTF">2020-08-27T10:10:00Z</dcterms:created>
  <dcterms:modified xsi:type="dcterms:W3CDTF">2020-10-15T13:02:00Z</dcterms:modified>
</cp:coreProperties>
</file>